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66" w:rsidRPr="00816D66" w:rsidRDefault="00816D66" w:rsidP="00430906">
      <w:pPr>
        <w:pStyle w:val="NoSpacing"/>
        <w:jc w:val="center"/>
        <w:rPr>
          <w:b/>
          <w:sz w:val="32"/>
          <w:szCs w:val="32"/>
          <w:u w:val="single"/>
        </w:rPr>
      </w:pPr>
      <w:r w:rsidRPr="00816D66">
        <w:rPr>
          <w:b/>
          <w:sz w:val="32"/>
          <w:szCs w:val="32"/>
          <w:u w:val="single"/>
        </w:rPr>
        <w:t>Accreditation Council for Education in Nutrition and Dietetics (ACEND)</w:t>
      </w:r>
    </w:p>
    <w:p w:rsidR="00430906" w:rsidRDefault="00430906" w:rsidP="00430906">
      <w:pPr>
        <w:pStyle w:val="NoSpacing"/>
        <w:rPr>
          <w:b/>
        </w:rPr>
      </w:pPr>
    </w:p>
    <w:p w:rsidR="003E39C6" w:rsidRPr="00430906" w:rsidRDefault="003E39C6" w:rsidP="00430906">
      <w:pPr>
        <w:pStyle w:val="NoSpacing"/>
        <w:rPr>
          <w:sz w:val="24"/>
          <w:szCs w:val="24"/>
        </w:rPr>
      </w:pPr>
      <w:r w:rsidRPr="00430906">
        <w:rPr>
          <w:b/>
          <w:sz w:val="24"/>
          <w:szCs w:val="24"/>
        </w:rPr>
        <w:t>About ACEND</w:t>
      </w:r>
      <w:r w:rsidR="00FC3A29" w:rsidRPr="00430906">
        <w:rPr>
          <w:b/>
          <w:sz w:val="24"/>
          <w:szCs w:val="24"/>
        </w:rPr>
        <w:br/>
      </w:r>
      <w:r w:rsidRPr="008220EC">
        <w:t>The Accreditation Council for Education in Nutrition and Dietetics (ACEND) serve</w:t>
      </w:r>
      <w:r w:rsidR="008220EC" w:rsidRPr="008220EC">
        <w:t>s</w:t>
      </w:r>
      <w:r w:rsidRPr="008220EC">
        <w:t xml:space="preserve"> the public by establishing and enforcing standards for the educational preparation of </w:t>
      </w:r>
      <w:r w:rsidR="008220EC" w:rsidRPr="008220EC">
        <w:t xml:space="preserve">nutrition and </w:t>
      </w:r>
      <w:r w:rsidRPr="008220EC">
        <w:t xml:space="preserve">dietetics practitioners and by recognizing </w:t>
      </w:r>
      <w:r w:rsidR="008220EC" w:rsidRPr="008220EC">
        <w:t xml:space="preserve">nutrition and </w:t>
      </w:r>
      <w:r w:rsidRPr="008220EC">
        <w:t xml:space="preserve">dietetics education programs that meet these standards.  ACEND operates independently of the governing bodies of the Academy.  </w:t>
      </w:r>
      <w:r w:rsidR="00623827" w:rsidRPr="008220EC">
        <w:t>ACEND Board m</w:t>
      </w:r>
      <w:r w:rsidRPr="008220EC">
        <w:t xml:space="preserve">embers make autonomous decisions about </w:t>
      </w:r>
      <w:r w:rsidR="008220EC" w:rsidRPr="008220EC">
        <w:t xml:space="preserve">accreditation standards, </w:t>
      </w:r>
      <w:r w:rsidRPr="008220EC">
        <w:t xml:space="preserve">the accreditation status of individual </w:t>
      </w:r>
      <w:r w:rsidR="008220EC" w:rsidRPr="008220EC">
        <w:t xml:space="preserve">nutrition and </w:t>
      </w:r>
      <w:r w:rsidRPr="008220EC">
        <w:t>dietetics education programs</w:t>
      </w:r>
      <w:r w:rsidR="008220EC" w:rsidRPr="008220EC">
        <w:t xml:space="preserve"> and </w:t>
      </w:r>
      <w:r w:rsidRPr="008220EC">
        <w:t>policies and procedures to be followed for accreditation.</w:t>
      </w:r>
      <w:r w:rsidRPr="00430906">
        <w:rPr>
          <w:sz w:val="24"/>
          <w:szCs w:val="24"/>
        </w:rPr>
        <w:t xml:space="preserve">  </w:t>
      </w:r>
    </w:p>
    <w:p w:rsidR="00430906" w:rsidRPr="00430906" w:rsidRDefault="00430906" w:rsidP="00430906">
      <w:pPr>
        <w:pStyle w:val="NoSpacing"/>
        <w:rPr>
          <w:sz w:val="24"/>
          <w:szCs w:val="24"/>
        </w:rPr>
      </w:pPr>
      <w:bookmarkStart w:id="0" w:name="_Toc298410785"/>
      <w:bookmarkStart w:id="1" w:name="_Toc252635389"/>
    </w:p>
    <w:p w:rsidR="003E39C6" w:rsidRPr="008220EC" w:rsidRDefault="003E39C6" w:rsidP="00430906">
      <w:pPr>
        <w:pStyle w:val="NoSpacing"/>
        <w:rPr>
          <w:b/>
        </w:rPr>
      </w:pPr>
      <w:r w:rsidRPr="00430906">
        <w:rPr>
          <w:b/>
          <w:sz w:val="24"/>
          <w:szCs w:val="24"/>
        </w:rPr>
        <w:t>ACEND Mission</w:t>
      </w:r>
      <w:bookmarkEnd w:id="0"/>
      <w:bookmarkEnd w:id="1"/>
      <w:r w:rsidR="00FC3A29" w:rsidRPr="00430906">
        <w:rPr>
          <w:sz w:val="24"/>
          <w:szCs w:val="24"/>
        </w:rPr>
        <w:br/>
      </w:r>
      <w:r w:rsidRPr="008220EC">
        <w:t xml:space="preserve">ACEND ensures the quality of </w:t>
      </w:r>
      <w:r w:rsidR="008220EC" w:rsidRPr="008220EC">
        <w:t xml:space="preserve">nutrition and </w:t>
      </w:r>
      <w:r w:rsidRPr="008220EC">
        <w:t>dietetics education to advance the practice of the profession.</w:t>
      </w:r>
    </w:p>
    <w:p w:rsidR="00430906" w:rsidRPr="00430906" w:rsidRDefault="00430906" w:rsidP="00430906">
      <w:pPr>
        <w:pStyle w:val="NoSpacing"/>
        <w:rPr>
          <w:b/>
          <w:sz w:val="24"/>
          <w:szCs w:val="24"/>
        </w:rPr>
      </w:pPr>
      <w:bookmarkStart w:id="2" w:name="_Toc252635393"/>
      <w:bookmarkStart w:id="3" w:name="_Toc298410789"/>
    </w:p>
    <w:p w:rsidR="00623827" w:rsidRPr="008220EC" w:rsidRDefault="003E39C6" w:rsidP="00430906">
      <w:pPr>
        <w:pStyle w:val="NoSpacing"/>
        <w:rPr>
          <w:b/>
        </w:rPr>
      </w:pPr>
      <w:r w:rsidRPr="00430906">
        <w:rPr>
          <w:b/>
          <w:sz w:val="24"/>
          <w:szCs w:val="24"/>
        </w:rPr>
        <w:t>External Recognition</w:t>
      </w:r>
      <w:bookmarkStart w:id="4" w:name="_GoBack"/>
      <w:bookmarkEnd w:id="2"/>
      <w:bookmarkEnd w:id="3"/>
      <w:bookmarkEnd w:id="4"/>
      <w:r w:rsidR="00FC3A29" w:rsidRPr="00430906">
        <w:rPr>
          <w:sz w:val="24"/>
          <w:szCs w:val="24"/>
        </w:rPr>
        <w:br/>
      </w:r>
      <w:r w:rsidRPr="008220EC">
        <w:t xml:space="preserve">ACEND </w:t>
      </w:r>
      <w:r w:rsidR="008220EC" w:rsidRPr="008220EC">
        <w:t>is</w:t>
      </w:r>
      <w:r w:rsidRPr="008220EC">
        <w:t xml:space="preserve"> recognized by the United States </w:t>
      </w:r>
      <w:r w:rsidR="008220EC" w:rsidRPr="008220EC">
        <w:t xml:space="preserve">Department of Education (USDE) </w:t>
      </w:r>
      <w:r w:rsidRPr="008220EC">
        <w:t xml:space="preserve">as the </w:t>
      </w:r>
      <w:r w:rsidR="008220EC" w:rsidRPr="008220EC">
        <w:t xml:space="preserve">specialized </w:t>
      </w:r>
      <w:r w:rsidRPr="008220EC">
        <w:t xml:space="preserve">accrediting body for nutrition and dietetics education programs.  Recognition provides an opportunity for interaction with other accrediting bodies, review of ACEND accrediting procedures and affirmation that ACEND is a reliable authority on the quality of </w:t>
      </w:r>
      <w:r w:rsidR="008220EC" w:rsidRPr="008220EC">
        <w:t xml:space="preserve">nutrition and </w:t>
      </w:r>
      <w:r w:rsidRPr="008220EC">
        <w:t>dietetics education.</w:t>
      </w:r>
      <w:r w:rsidR="00ED2228" w:rsidRPr="008220EC">
        <w:t xml:space="preserve"> </w:t>
      </w:r>
      <w:r w:rsidRPr="008220EC">
        <w:t xml:space="preserve"> ACEND is a member of the Association of Specialized and Professional Accreditors (ASPA) and abides by its </w:t>
      </w:r>
      <w:r w:rsidRPr="008220EC">
        <w:rPr>
          <w:i/>
        </w:rPr>
        <w:t>Member Code of Good Practice</w:t>
      </w:r>
      <w:r w:rsidRPr="008220EC">
        <w:t xml:space="preserve"> </w:t>
      </w:r>
      <w:hyperlink r:id="rId8" w:history="1">
        <w:r w:rsidR="00623827" w:rsidRPr="008220EC">
          <w:rPr>
            <w:rStyle w:val="Hyperlink"/>
            <w:rFonts w:asciiTheme="minorHAnsi" w:hAnsiTheme="minorHAnsi"/>
          </w:rPr>
          <w:t>http://www.aspa-usa.org/principles</w:t>
        </w:r>
      </w:hyperlink>
      <w:r w:rsidRPr="008220EC">
        <w:t>.</w:t>
      </w:r>
      <w:r w:rsidR="00623827" w:rsidRPr="008220EC">
        <w:rPr>
          <w:b/>
        </w:rPr>
        <w:t xml:space="preserve"> </w:t>
      </w:r>
    </w:p>
    <w:p w:rsidR="00430906" w:rsidRPr="00430906" w:rsidRDefault="00430906" w:rsidP="00430906">
      <w:pPr>
        <w:pStyle w:val="NoSpacing"/>
        <w:rPr>
          <w:b/>
          <w:sz w:val="24"/>
          <w:szCs w:val="24"/>
        </w:rPr>
      </w:pPr>
    </w:p>
    <w:p w:rsidR="003E39C6" w:rsidRDefault="003E39C6" w:rsidP="00430906">
      <w:pPr>
        <w:pStyle w:val="NoSpacing"/>
        <w:rPr>
          <w:sz w:val="24"/>
          <w:szCs w:val="24"/>
        </w:rPr>
      </w:pPr>
      <w:r w:rsidRPr="00430906">
        <w:rPr>
          <w:b/>
          <w:sz w:val="24"/>
          <w:szCs w:val="24"/>
        </w:rPr>
        <w:t>ACEND Accreditation Decisions</w:t>
      </w:r>
      <w:r w:rsidRPr="00430906">
        <w:rPr>
          <w:sz w:val="24"/>
          <w:szCs w:val="24"/>
        </w:rPr>
        <w:br/>
      </w:r>
      <w:r w:rsidRPr="008220EC">
        <w:t xml:space="preserve">ACEND continues to review applications and make accreditation decisions based on the ability of each education program to meet the ACEND Accreditation Standards.  There were </w:t>
      </w:r>
      <w:r w:rsidR="008220EC" w:rsidRPr="008220EC">
        <w:t xml:space="preserve">more than </w:t>
      </w:r>
      <w:r w:rsidRPr="008220EC">
        <w:t>5</w:t>
      </w:r>
      <w:r w:rsidR="008220EC" w:rsidRPr="008220EC">
        <w:t xml:space="preserve">00 </w:t>
      </w:r>
      <w:r w:rsidRPr="008220EC">
        <w:t xml:space="preserve">accredited programs as of </w:t>
      </w:r>
      <w:r w:rsidR="00623827" w:rsidRPr="008220EC">
        <w:t>March</w:t>
      </w:r>
      <w:r w:rsidRPr="008220EC">
        <w:t xml:space="preserve"> 1, 201</w:t>
      </w:r>
      <w:r w:rsidR="008220EC" w:rsidRPr="008220EC">
        <w:t>6</w:t>
      </w:r>
      <w:r w:rsidRPr="008220EC">
        <w:t>.</w:t>
      </w:r>
    </w:p>
    <w:p w:rsidR="008220EC" w:rsidRPr="00430906" w:rsidRDefault="008220EC" w:rsidP="00430906">
      <w:pPr>
        <w:pStyle w:val="NoSpacing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shd w:val="clear" w:color="auto" w:fill="FDEC8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2"/>
        <w:gridCol w:w="1169"/>
      </w:tblGrid>
      <w:tr w:rsidR="008220EC" w:rsidRPr="00416F04" w:rsidTr="005717D3">
        <w:trPr>
          <w:trHeight w:hRule="exact" w:val="288"/>
          <w:tblCellSpacing w:w="0" w:type="dxa"/>
          <w:jc w:val="center"/>
        </w:trPr>
        <w:tc>
          <w:tcPr>
            <w:tcW w:w="6502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rPr>
                <w:rFonts w:ascii="Myriad Pro" w:hAnsi="Myriad Pro"/>
                <w:b/>
                <w:sz w:val="22"/>
                <w:szCs w:val="22"/>
              </w:rPr>
            </w:pPr>
            <w:r w:rsidRPr="00416F04">
              <w:rPr>
                <w:rFonts w:ascii="Myriad Pro" w:hAnsi="Myriad Pro"/>
                <w:b/>
                <w:sz w:val="22"/>
                <w:szCs w:val="22"/>
              </w:rPr>
              <w:t>Total Number of Active US-Based ACEND Programs</w:t>
            </w:r>
          </w:p>
        </w:tc>
        <w:tc>
          <w:tcPr>
            <w:tcW w:w="1169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416F04">
              <w:rPr>
                <w:rFonts w:ascii="Myriad Pro" w:hAnsi="Myriad Pro"/>
                <w:b/>
                <w:sz w:val="22"/>
                <w:szCs w:val="22"/>
              </w:rPr>
              <w:t>57</w:t>
            </w:r>
            <w:r>
              <w:rPr>
                <w:rFonts w:ascii="Myriad Pro" w:hAnsi="Myriad Pro"/>
                <w:b/>
                <w:sz w:val="22"/>
                <w:szCs w:val="22"/>
              </w:rPr>
              <w:t>0</w:t>
            </w:r>
          </w:p>
        </w:tc>
      </w:tr>
      <w:tr w:rsidR="008220EC" w:rsidRPr="00416F04" w:rsidTr="005717D3">
        <w:trPr>
          <w:trHeight w:hRule="exact" w:val="288"/>
          <w:tblCellSpacing w:w="0" w:type="dxa"/>
          <w:jc w:val="center"/>
        </w:trPr>
        <w:tc>
          <w:tcPr>
            <w:tcW w:w="6502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ind w:left="720"/>
              <w:rPr>
                <w:rFonts w:ascii="Myriad Pro" w:hAnsi="Myriad Pro"/>
                <w:sz w:val="22"/>
                <w:szCs w:val="22"/>
              </w:rPr>
            </w:pPr>
            <w:r w:rsidRPr="00416F04">
              <w:rPr>
                <w:rFonts w:ascii="Myriad Pro" w:hAnsi="Myriad Pro"/>
                <w:sz w:val="22"/>
                <w:szCs w:val="22"/>
              </w:rPr>
              <w:t>US Dietetic Technician Programs</w:t>
            </w:r>
          </w:p>
        </w:tc>
        <w:tc>
          <w:tcPr>
            <w:tcW w:w="1169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416F04">
              <w:rPr>
                <w:rFonts w:ascii="Myriad Pro" w:hAnsi="Myriad Pro"/>
                <w:sz w:val="22"/>
                <w:szCs w:val="22"/>
              </w:rPr>
              <w:t>42</w:t>
            </w:r>
          </w:p>
        </w:tc>
      </w:tr>
      <w:tr w:rsidR="008220EC" w:rsidRPr="00416F04" w:rsidTr="005717D3">
        <w:trPr>
          <w:trHeight w:hRule="exact" w:val="288"/>
          <w:tblCellSpacing w:w="0" w:type="dxa"/>
          <w:jc w:val="center"/>
        </w:trPr>
        <w:tc>
          <w:tcPr>
            <w:tcW w:w="6502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ind w:left="720"/>
              <w:rPr>
                <w:rFonts w:ascii="Myriad Pro" w:hAnsi="Myriad Pro"/>
                <w:sz w:val="22"/>
                <w:szCs w:val="22"/>
              </w:rPr>
            </w:pPr>
            <w:r w:rsidRPr="00416F04">
              <w:rPr>
                <w:rFonts w:ascii="Myriad Pro" w:hAnsi="Myriad Pro"/>
                <w:sz w:val="22"/>
                <w:szCs w:val="22"/>
              </w:rPr>
              <w:t>US Coordinated Programs</w:t>
            </w:r>
          </w:p>
        </w:tc>
        <w:tc>
          <w:tcPr>
            <w:tcW w:w="1169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416F04">
              <w:rPr>
                <w:rFonts w:ascii="Myriad Pro" w:hAnsi="Myriad Pro"/>
                <w:sz w:val="22"/>
                <w:szCs w:val="22"/>
              </w:rPr>
              <w:t>5</w:t>
            </w:r>
            <w:r>
              <w:rPr>
                <w:rFonts w:ascii="Myriad Pro" w:hAnsi="Myriad Pro"/>
                <w:sz w:val="22"/>
                <w:szCs w:val="22"/>
              </w:rPr>
              <w:t>6</w:t>
            </w:r>
          </w:p>
        </w:tc>
      </w:tr>
      <w:tr w:rsidR="008220EC" w:rsidRPr="00416F04" w:rsidTr="005717D3">
        <w:trPr>
          <w:trHeight w:hRule="exact" w:val="288"/>
          <w:tblCellSpacing w:w="0" w:type="dxa"/>
          <w:jc w:val="center"/>
        </w:trPr>
        <w:tc>
          <w:tcPr>
            <w:tcW w:w="6502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ind w:left="720"/>
              <w:rPr>
                <w:rFonts w:ascii="Myriad Pro" w:hAnsi="Myriad Pro"/>
                <w:sz w:val="22"/>
                <w:szCs w:val="22"/>
              </w:rPr>
            </w:pPr>
            <w:r w:rsidRPr="00416F04">
              <w:rPr>
                <w:rFonts w:ascii="Myriad Pro" w:hAnsi="Myriad Pro"/>
                <w:sz w:val="22"/>
                <w:szCs w:val="22"/>
              </w:rPr>
              <w:t>US Didactic Programs</w:t>
            </w:r>
          </w:p>
        </w:tc>
        <w:tc>
          <w:tcPr>
            <w:tcW w:w="1169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416F04">
              <w:rPr>
                <w:rFonts w:ascii="Myriad Pro" w:hAnsi="Myriad Pro"/>
                <w:sz w:val="22"/>
                <w:szCs w:val="22"/>
              </w:rPr>
              <w:t>22</w:t>
            </w:r>
            <w:r>
              <w:rPr>
                <w:rFonts w:ascii="Myriad Pro" w:hAnsi="Myriad Pro"/>
                <w:sz w:val="22"/>
                <w:szCs w:val="22"/>
              </w:rPr>
              <w:t>3</w:t>
            </w:r>
          </w:p>
        </w:tc>
      </w:tr>
      <w:tr w:rsidR="008220EC" w:rsidRPr="00416F04" w:rsidTr="005717D3">
        <w:trPr>
          <w:trHeight w:hRule="exact" w:val="288"/>
          <w:tblCellSpacing w:w="0" w:type="dxa"/>
          <w:jc w:val="center"/>
        </w:trPr>
        <w:tc>
          <w:tcPr>
            <w:tcW w:w="6502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ind w:left="720"/>
              <w:rPr>
                <w:rFonts w:ascii="Myriad Pro" w:hAnsi="Myriad Pro"/>
                <w:sz w:val="22"/>
                <w:szCs w:val="22"/>
              </w:rPr>
            </w:pPr>
            <w:r w:rsidRPr="00416F04">
              <w:rPr>
                <w:rFonts w:ascii="Myriad Pro" w:hAnsi="Myriad Pro"/>
                <w:sz w:val="22"/>
                <w:szCs w:val="22"/>
              </w:rPr>
              <w:t>US Dietetic Internships</w:t>
            </w:r>
          </w:p>
        </w:tc>
        <w:tc>
          <w:tcPr>
            <w:tcW w:w="1169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416F04">
              <w:rPr>
                <w:rFonts w:ascii="Myriad Pro" w:hAnsi="Myriad Pro"/>
                <w:sz w:val="22"/>
                <w:szCs w:val="22"/>
              </w:rPr>
              <w:t>2</w:t>
            </w:r>
            <w:r>
              <w:rPr>
                <w:rFonts w:ascii="Myriad Pro" w:hAnsi="Myriad Pro"/>
                <w:sz w:val="22"/>
                <w:szCs w:val="22"/>
              </w:rPr>
              <w:t>49</w:t>
            </w:r>
          </w:p>
        </w:tc>
      </w:tr>
      <w:tr w:rsidR="008220EC" w:rsidRPr="00416F04" w:rsidTr="005717D3">
        <w:trPr>
          <w:trHeight w:hRule="exact" w:val="288"/>
          <w:tblCellSpacing w:w="0" w:type="dxa"/>
          <w:jc w:val="center"/>
        </w:trPr>
        <w:tc>
          <w:tcPr>
            <w:tcW w:w="6502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rPr>
                <w:rFonts w:ascii="Myriad Pro" w:hAnsi="Myriad Pro"/>
                <w:b/>
                <w:sz w:val="22"/>
                <w:szCs w:val="22"/>
              </w:rPr>
            </w:pPr>
            <w:r w:rsidRPr="00416F04">
              <w:rPr>
                <w:rFonts w:ascii="Myriad Pro" w:hAnsi="Myriad Pro"/>
                <w:b/>
                <w:sz w:val="22"/>
                <w:szCs w:val="22"/>
              </w:rPr>
              <w:t>US Programs Seeking Candidate Status</w:t>
            </w:r>
          </w:p>
        </w:tc>
        <w:tc>
          <w:tcPr>
            <w:tcW w:w="1169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14</w:t>
            </w:r>
          </w:p>
        </w:tc>
      </w:tr>
      <w:tr w:rsidR="008220EC" w:rsidRPr="00416F04" w:rsidTr="005717D3">
        <w:trPr>
          <w:trHeight w:hRule="exact" w:val="288"/>
          <w:tblCellSpacing w:w="0" w:type="dxa"/>
          <w:jc w:val="center"/>
        </w:trPr>
        <w:tc>
          <w:tcPr>
            <w:tcW w:w="6502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rPr>
                <w:rFonts w:ascii="Myriad Pro" w:hAnsi="Myriad Pro"/>
                <w:b/>
                <w:sz w:val="22"/>
                <w:szCs w:val="22"/>
              </w:rPr>
            </w:pPr>
            <w:r w:rsidRPr="00416F04">
              <w:rPr>
                <w:rFonts w:ascii="Myriad Pro" w:hAnsi="Myriad Pro"/>
                <w:b/>
                <w:sz w:val="22"/>
                <w:szCs w:val="22"/>
              </w:rPr>
              <w:t>International Programs Seeking Candidate Status</w:t>
            </w:r>
          </w:p>
        </w:tc>
        <w:tc>
          <w:tcPr>
            <w:tcW w:w="1169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0</w:t>
            </w:r>
          </w:p>
        </w:tc>
      </w:tr>
      <w:tr w:rsidR="008220EC" w:rsidRPr="00416F04" w:rsidTr="005717D3">
        <w:trPr>
          <w:trHeight w:hRule="exact" w:val="288"/>
          <w:tblCellSpacing w:w="0" w:type="dxa"/>
          <w:jc w:val="center"/>
        </w:trPr>
        <w:tc>
          <w:tcPr>
            <w:tcW w:w="6502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rPr>
                <w:rFonts w:ascii="Myriad Pro" w:hAnsi="Myriad Pro"/>
                <w:b/>
                <w:sz w:val="22"/>
                <w:szCs w:val="22"/>
              </w:rPr>
            </w:pPr>
            <w:r w:rsidRPr="00416F04">
              <w:rPr>
                <w:rFonts w:ascii="Myriad Pro" w:hAnsi="Myriad Pro"/>
                <w:b/>
                <w:sz w:val="22"/>
                <w:szCs w:val="22"/>
              </w:rPr>
              <w:t>International Coordinated Programs</w:t>
            </w:r>
          </w:p>
        </w:tc>
        <w:tc>
          <w:tcPr>
            <w:tcW w:w="1169" w:type="dxa"/>
            <w:shd w:val="clear" w:color="auto" w:fill="FDEC8F"/>
            <w:vAlign w:val="center"/>
          </w:tcPr>
          <w:p w:rsidR="008220EC" w:rsidRPr="00416F04" w:rsidRDefault="008220EC" w:rsidP="005717D3">
            <w:pPr>
              <w:spacing w:before="100" w:beforeAutospacing="1" w:after="100" w:afterAutospacing="1" w:line="288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</w:p>
        </w:tc>
      </w:tr>
    </w:tbl>
    <w:p w:rsidR="009A02CB" w:rsidRPr="00430906" w:rsidRDefault="009A02CB" w:rsidP="003E39C6">
      <w:pPr>
        <w:rPr>
          <w:rFonts w:asciiTheme="minorHAnsi" w:hAnsiTheme="minorHAnsi"/>
          <w:b/>
        </w:rPr>
      </w:pPr>
    </w:p>
    <w:p w:rsidR="008220EC" w:rsidRPr="008220EC" w:rsidRDefault="00623827" w:rsidP="008220EC">
      <w:pPr>
        <w:pStyle w:val="NoSpacing"/>
        <w:spacing w:after="80"/>
      </w:pPr>
      <w:r w:rsidRPr="00430906">
        <w:rPr>
          <w:b/>
          <w:sz w:val="24"/>
          <w:szCs w:val="24"/>
        </w:rPr>
        <w:t>ACEND Standards Update</w:t>
      </w:r>
      <w:r w:rsidRPr="00430906">
        <w:rPr>
          <w:b/>
          <w:sz w:val="24"/>
          <w:szCs w:val="24"/>
        </w:rPr>
        <w:br/>
      </w:r>
      <w:r w:rsidR="008220EC" w:rsidRPr="008220EC">
        <w:rPr>
          <w:i/>
        </w:rPr>
        <w:t>2017 Standards:</w:t>
      </w:r>
      <w:r w:rsidR="008220EC" w:rsidRPr="008220EC">
        <w:t xml:space="preserve">  ACEND has released the draft 2017 standards.  All currently accredited programs will need to come into compliance with these standards.</w:t>
      </w:r>
    </w:p>
    <w:p w:rsidR="008220EC" w:rsidRDefault="008220EC" w:rsidP="00430906">
      <w:pPr>
        <w:pStyle w:val="NoSpacing"/>
      </w:pPr>
      <w:r w:rsidRPr="008220EC">
        <w:rPr>
          <w:i/>
        </w:rPr>
        <w:t>Future Education Model Standards</w:t>
      </w:r>
      <w:r w:rsidR="00623827" w:rsidRPr="008220EC">
        <w:rPr>
          <w:i/>
        </w:rPr>
        <w:t>:</w:t>
      </w:r>
      <w:r w:rsidR="00623827" w:rsidRPr="008220EC">
        <w:t xml:space="preserve">  ACEND is continuing </w:t>
      </w:r>
      <w:r w:rsidR="00623827" w:rsidRPr="008220EC">
        <w:rPr>
          <w:strike/>
        </w:rPr>
        <w:t>its</w:t>
      </w:r>
      <w:r w:rsidR="00623827" w:rsidRPr="008220EC">
        <w:t xml:space="preserve"> development of standards and competencies for new practitioners at the associate, baccalaureate and master’s </w:t>
      </w:r>
      <w:r w:rsidRPr="008220EC">
        <w:t xml:space="preserve">degree </w:t>
      </w:r>
      <w:r w:rsidR="00623827" w:rsidRPr="008220EC">
        <w:t xml:space="preserve">level. </w:t>
      </w:r>
      <w:r w:rsidRPr="008220EC">
        <w:t xml:space="preserve">These draft standards are expected to be released in </w:t>
      </w:r>
      <w:proofErr w:type="gramStart"/>
      <w:r w:rsidRPr="008220EC">
        <w:t>Fall</w:t>
      </w:r>
      <w:proofErr w:type="gramEnd"/>
      <w:r w:rsidRPr="008220EC">
        <w:t xml:space="preserve"> 2017</w:t>
      </w:r>
      <w:r w:rsidR="00623827" w:rsidRPr="008220EC">
        <w:t xml:space="preserve">. To learn more visit the </w:t>
      </w:r>
      <w:r w:rsidR="00623827" w:rsidRPr="008220EC">
        <w:rPr>
          <w:rFonts w:asciiTheme="minorHAnsi" w:hAnsiTheme="minorHAnsi"/>
        </w:rPr>
        <w:t>ACEND Standards Committee webpage</w:t>
      </w:r>
      <w:r w:rsidR="00623827" w:rsidRPr="008220EC">
        <w:t xml:space="preserve"> </w:t>
      </w:r>
      <w:r>
        <w:t>at www.eatrightacend.org/acend/standards</w:t>
      </w:r>
      <w:r w:rsidR="00623827" w:rsidRPr="008220EC">
        <w:t xml:space="preserve">.  </w:t>
      </w:r>
    </w:p>
    <w:p w:rsidR="008220EC" w:rsidRDefault="008220EC" w:rsidP="00430906">
      <w:pPr>
        <w:pStyle w:val="NoSpacing"/>
      </w:pPr>
    </w:p>
    <w:p w:rsidR="008220EC" w:rsidRDefault="008220EC" w:rsidP="00430906">
      <w:pPr>
        <w:pStyle w:val="NoSpacing"/>
      </w:pPr>
      <w:r>
        <w:rPr>
          <w:b/>
          <w:sz w:val="24"/>
          <w:szCs w:val="24"/>
        </w:rPr>
        <w:t xml:space="preserve">Additional Information </w:t>
      </w:r>
    </w:p>
    <w:p w:rsidR="00136A61" w:rsidRPr="008220EC" w:rsidRDefault="00136A61" w:rsidP="00430906">
      <w:pPr>
        <w:pStyle w:val="NoSpacing"/>
      </w:pPr>
      <w:r w:rsidRPr="008220EC">
        <w:t xml:space="preserve">More detailed information </w:t>
      </w:r>
      <w:r w:rsidR="009A02CB" w:rsidRPr="008220EC">
        <w:t xml:space="preserve">about ACEND </w:t>
      </w:r>
      <w:r w:rsidR="008220EC">
        <w:t xml:space="preserve">and its </w:t>
      </w:r>
      <w:r w:rsidR="009A02CB" w:rsidRPr="008220EC">
        <w:t xml:space="preserve">activities </w:t>
      </w:r>
      <w:r w:rsidRPr="008220EC">
        <w:t xml:space="preserve">is available on the </w:t>
      </w:r>
      <w:r w:rsidR="008220EC">
        <w:t>ACEND</w:t>
      </w:r>
      <w:r w:rsidRPr="008220EC">
        <w:t xml:space="preserve"> Website at www.eatright.org/acend.  For additional information, please contact acend@eatright.org or 800/877-1600 ext</w:t>
      </w:r>
      <w:r w:rsidR="008220EC">
        <w:t>.</w:t>
      </w:r>
      <w:r w:rsidRPr="008220EC">
        <w:t xml:space="preserve"> 5400.</w:t>
      </w:r>
    </w:p>
    <w:sectPr w:rsidR="00136A61" w:rsidRPr="008220EC" w:rsidSect="00430906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42" w:rsidRDefault="008D6C42" w:rsidP="00457318">
      <w:r>
        <w:separator/>
      </w:r>
    </w:p>
  </w:endnote>
  <w:endnote w:type="continuationSeparator" w:id="0">
    <w:p w:rsidR="008D6C42" w:rsidRDefault="008D6C42" w:rsidP="004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18" w:rsidRPr="00457318" w:rsidRDefault="00457318">
    <w:pPr>
      <w:pStyle w:val="Footer"/>
      <w:jc w:val="right"/>
      <w:rPr>
        <w:rFonts w:ascii="Times New Roman" w:hAnsi="Times New Roman"/>
        <w:sz w:val="16"/>
        <w:szCs w:val="16"/>
      </w:rPr>
    </w:pPr>
    <w:r w:rsidRPr="00457318">
      <w:rPr>
        <w:rFonts w:ascii="Times New Roman" w:hAnsi="Times New Roman"/>
        <w:sz w:val="16"/>
        <w:szCs w:val="16"/>
      </w:rPr>
      <w:t>5.</w:t>
    </w:r>
    <w:r w:rsidR="00144170">
      <w:rPr>
        <w:rFonts w:ascii="Times New Roman" w:hAnsi="Times New Roman"/>
        <w:sz w:val="16"/>
        <w:szCs w:val="16"/>
      </w:rPr>
      <w:t>2</w:t>
    </w:r>
    <w:proofErr w:type="gramStart"/>
    <w:r w:rsidRPr="00457318">
      <w:rPr>
        <w:rFonts w:ascii="Times New Roman" w:hAnsi="Times New Roman"/>
        <w:sz w:val="16"/>
        <w:szCs w:val="16"/>
      </w:rPr>
      <w:t>.</w:t>
    </w:r>
    <w:proofErr w:type="gramEnd"/>
    <w:sdt>
      <w:sdtPr>
        <w:rPr>
          <w:rFonts w:ascii="Times New Roman" w:hAnsi="Times New Roman"/>
          <w:sz w:val="16"/>
          <w:szCs w:val="16"/>
        </w:rPr>
        <w:id w:val="55432952"/>
        <w:docPartObj>
          <w:docPartGallery w:val="Page Numbers (Bottom of Page)"/>
          <w:docPartUnique/>
        </w:docPartObj>
      </w:sdtPr>
      <w:sdtEndPr/>
      <w:sdtContent>
        <w:r w:rsidR="0029086C" w:rsidRPr="00457318">
          <w:rPr>
            <w:rFonts w:ascii="Times New Roman" w:hAnsi="Times New Roman"/>
            <w:sz w:val="16"/>
            <w:szCs w:val="16"/>
          </w:rPr>
          <w:fldChar w:fldCharType="begin"/>
        </w:r>
        <w:r w:rsidRPr="00457318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="0029086C" w:rsidRPr="00457318">
          <w:rPr>
            <w:rFonts w:ascii="Times New Roman" w:hAnsi="Times New Roman"/>
            <w:sz w:val="16"/>
            <w:szCs w:val="16"/>
          </w:rPr>
          <w:fldChar w:fldCharType="separate"/>
        </w:r>
        <w:r w:rsidR="00787CAF">
          <w:rPr>
            <w:rFonts w:ascii="Times New Roman" w:hAnsi="Times New Roman"/>
            <w:noProof/>
            <w:sz w:val="16"/>
            <w:szCs w:val="16"/>
          </w:rPr>
          <w:t>1</w:t>
        </w:r>
        <w:r w:rsidR="0029086C" w:rsidRPr="00457318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  <w:p w:rsidR="00457318" w:rsidRDefault="00457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42" w:rsidRDefault="008D6C42" w:rsidP="00457318">
      <w:r>
        <w:separator/>
      </w:r>
    </w:p>
  </w:footnote>
  <w:footnote w:type="continuationSeparator" w:id="0">
    <w:p w:rsidR="008D6C42" w:rsidRDefault="008D6C42" w:rsidP="0045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649"/>
    <w:multiLevelType w:val="hybridMultilevel"/>
    <w:tmpl w:val="7B90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ACA"/>
    <w:multiLevelType w:val="hybridMultilevel"/>
    <w:tmpl w:val="BCBC3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84787"/>
    <w:multiLevelType w:val="hybridMultilevel"/>
    <w:tmpl w:val="B1D489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4081"/>
    <w:multiLevelType w:val="hybridMultilevel"/>
    <w:tmpl w:val="C18C8A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2F95F57"/>
    <w:multiLevelType w:val="hybridMultilevel"/>
    <w:tmpl w:val="A5D2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71AE5"/>
    <w:multiLevelType w:val="hybridMultilevel"/>
    <w:tmpl w:val="D9CE376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6E3663C4"/>
    <w:multiLevelType w:val="hybridMultilevel"/>
    <w:tmpl w:val="14D2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A"/>
    <w:rsid w:val="00074A85"/>
    <w:rsid w:val="0009426A"/>
    <w:rsid w:val="000C6497"/>
    <w:rsid w:val="000F7CFD"/>
    <w:rsid w:val="00136A61"/>
    <w:rsid w:val="00144170"/>
    <w:rsid w:val="00157366"/>
    <w:rsid w:val="001864A8"/>
    <w:rsid w:val="001E2593"/>
    <w:rsid w:val="00203F0D"/>
    <w:rsid w:val="0025068F"/>
    <w:rsid w:val="0029086C"/>
    <w:rsid w:val="002F15D4"/>
    <w:rsid w:val="003038A1"/>
    <w:rsid w:val="003159F1"/>
    <w:rsid w:val="00392079"/>
    <w:rsid w:val="00397F3C"/>
    <w:rsid w:val="003E39C6"/>
    <w:rsid w:val="003F2B72"/>
    <w:rsid w:val="00403E50"/>
    <w:rsid w:val="004069FA"/>
    <w:rsid w:val="00430906"/>
    <w:rsid w:val="00457318"/>
    <w:rsid w:val="0046731A"/>
    <w:rsid w:val="00497DC9"/>
    <w:rsid w:val="00623827"/>
    <w:rsid w:val="00626EFC"/>
    <w:rsid w:val="00630340"/>
    <w:rsid w:val="00656B2A"/>
    <w:rsid w:val="0069056E"/>
    <w:rsid w:val="00706DC9"/>
    <w:rsid w:val="00730593"/>
    <w:rsid w:val="00742E32"/>
    <w:rsid w:val="00751139"/>
    <w:rsid w:val="007842C7"/>
    <w:rsid w:val="00787CAF"/>
    <w:rsid w:val="007C41AE"/>
    <w:rsid w:val="007C6992"/>
    <w:rsid w:val="00816D66"/>
    <w:rsid w:val="008220EC"/>
    <w:rsid w:val="008D6C42"/>
    <w:rsid w:val="008D72AA"/>
    <w:rsid w:val="008F36B4"/>
    <w:rsid w:val="00905F73"/>
    <w:rsid w:val="00936A34"/>
    <w:rsid w:val="009530A4"/>
    <w:rsid w:val="00985514"/>
    <w:rsid w:val="009A02CB"/>
    <w:rsid w:val="009C2C32"/>
    <w:rsid w:val="009E4378"/>
    <w:rsid w:val="00A754DF"/>
    <w:rsid w:val="00A91C9C"/>
    <w:rsid w:val="00AA0776"/>
    <w:rsid w:val="00AE10ED"/>
    <w:rsid w:val="00AF6629"/>
    <w:rsid w:val="00B23F70"/>
    <w:rsid w:val="00B55964"/>
    <w:rsid w:val="00C912A3"/>
    <w:rsid w:val="00C94580"/>
    <w:rsid w:val="00CD7B98"/>
    <w:rsid w:val="00D96575"/>
    <w:rsid w:val="00DA3E9B"/>
    <w:rsid w:val="00E00D47"/>
    <w:rsid w:val="00E0141B"/>
    <w:rsid w:val="00E139F6"/>
    <w:rsid w:val="00E23CB2"/>
    <w:rsid w:val="00E83D20"/>
    <w:rsid w:val="00ED2228"/>
    <w:rsid w:val="00F01304"/>
    <w:rsid w:val="00F124A1"/>
    <w:rsid w:val="00F61126"/>
    <w:rsid w:val="00F75F29"/>
    <w:rsid w:val="00F7657A"/>
    <w:rsid w:val="00FA10E7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C33F6-31E8-44B2-BFFF-D746D9D0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1A"/>
    <w:rPr>
      <w:rFonts w:ascii="Tahoma" w:eastAsia="Times New Roman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6731A"/>
    <w:pPr>
      <w:keepNext/>
      <w:outlineLvl w:val="3"/>
    </w:pPr>
    <w:rPr>
      <w:rFonts w:ascii="Times" w:hAnsi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731A"/>
    <w:rPr>
      <w:rFonts w:ascii="Times" w:eastAsia="Times New Roman" w:hAnsi="Times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46731A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46731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A07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3E39C6"/>
    <w:pPr>
      <w:keepNext/>
      <w:keepLines/>
      <w:spacing w:before="60" w:after="120" w:line="240" w:lineRule="atLeast"/>
    </w:pPr>
    <w:rPr>
      <w:rFonts w:ascii="Arial Black" w:hAnsi="Arial Black" w:cs="Arial"/>
      <w:b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E39C6"/>
    <w:rPr>
      <w:rFonts w:ascii="Arial Black" w:eastAsia="Times New Roman" w:hAnsi="Arial Black" w:cs="Arial"/>
      <w:b/>
      <w:spacing w:val="-30"/>
      <w:kern w:val="28"/>
      <w:sz w:val="40"/>
    </w:rPr>
  </w:style>
  <w:style w:type="character" w:styleId="Hyperlink">
    <w:name w:val="Hyperlink"/>
    <w:basedOn w:val="DefaultParagraphFont"/>
    <w:uiPriority w:val="99"/>
    <w:rsid w:val="003E39C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E39C6"/>
    <w:pPr>
      <w:spacing w:after="120"/>
      <w:ind w:leftChars="50" w:left="98"/>
    </w:pPr>
    <w:rPr>
      <w:rFonts w:ascii="Arial" w:hAnsi="Arial"/>
      <w:spacing w:val="-5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E39C6"/>
    <w:rPr>
      <w:rFonts w:ascii="Arial" w:eastAsia="Times New Roman" w:hAnsi="Arial"/>
      <w:spacing w:val="-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3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3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C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C6"/>
    <w:rPr>
      <w:rFonts w:ascii="Tahoma" w:eastAsia="Times New Roman" w:hAnsi="Tahoma"/>
      <w:sz w:val="16"/>
      <w:szCs w:val="16"/>
    </w:rPr>
  </w:style>
  <w:style w:type="paragraph" w:styleId="ListBullet">
    <w:name w:val="List Bullet"/>
    <w:basedOn w:val="List"/>
    <w:rsid w:val="003E39C6"/>
    <w:pPr>
      <w:numPr>
        <w:numId w:val="6"/>
      </w:numPr>
      <w:tabs>
        <w:tab w:val="clear" w:pos="1440"/>
        <w:tab w:val="num" w:pos="360"/>
      </w:tabs>
      <w:spacing w:after="120" w:line="240" w:lineRule="atLeast"/>
      <w:ind w:left="1080"/>
      <w:contextualSpacing w:val="0"/>
      <w:jc w:val="both"/>
    </w:pPr>
    <w:rPr>
      <w:rFonts w:ascii="Arial" w:hAnsi="Arial"/>
      <w:spacing w:val="-5"/>
      <w:sz w:val="20"/>
      <w:szCs w:val="20"/>
    </w:rPr>
  </w:style>
  <w:style w:type="paragraph" w:customStyle="1" w:styleId="StyleBodyTextIndentHanging025After3pt">
    <w:name w:val="Style Body Text Indent + Hanging:  0.25&quot; After:  3 pt"/>
    <w:basedOn w:val="Normal"/>
    <w:next w:val="NoSpacing"/>
    <w:rsid w:val="003E39C6"/>
    <w:pPr>
      <w:spacing w:after="120" w:line="240" w:lineRule="atLeast"/>
      <w:ind w:leftChars="150" w:left="438" w:hanging="288"/>
      <w:jc w:val="both"/>
    </w:pPr>
    <w:rPr>
      <w:rFonts w:ascii="Arial" w:hAnsi="Arial"/>
      <w:spacing w:val="-5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E39C6"/>
    <w:pPr>
      <w:ind w:left="360" w:hanging="36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C6"/>
    <w:rPr>
      <w:rFonts w:ascii="Tahoma" w:eastAsia="Times New Roman" w:hAnsi="Tahoma"/>
      <w:sz w:val="24"/>
      <w:szCs w:val="24"/>
    </w:rPr>
  </w:style>
  <w:style w:type="paragraph" w:styleId="NoSpacing">
    <w:name w:val="No Spacing"/>
    <w:uiPriority w:val="1"/>
    <w:qFormat/>
    <w:rsid w:val="003E39C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06DC9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C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C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6DC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57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318"/>
    <w:rPr>
      <w:rFonts w:ascii="Tahoma" w:eastAsia="Times New Roman" w:hAnsi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2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-usa.org/princip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5D118-C316-4CD4-A167-6EBEAC3B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Diatetic Association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Taccona</dc:creator>
  <cp:lastModifiedBy>Ryan Crinnigan</cp:lastModifiedBy>
  <cp:revision>2</cp:revision>
  <cp:lastPrinted>2014-04-01T20:38:00Z</cp:lastPrinted>
  <dcterms:created xsi:type="dcterms:W3CDTF">2016-04-18T16:20:00Z</dcterms:created>
  <dcterms:modified xsi:type="dcterms:W3CDTF">2016-04-18T16:20:00Z</dcterms:modified>
</cp:coreProperties>
</file>